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BC" w:rsidRPr="0048583A" w:rsidRDefault="00CD52BC" w:rsidP="00CD52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Kezdet és vég</w:t>
      </w:r>
    </w:p>
    <w:p w:rsidR="00CD52BC" w:rsidRPr="0048583A" w:rsidRDefault="00CD52BC" w:rsidP="00CD52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konstantini modell válsága a totális diktatúrában</w:t>
      </w:r>
    </w:p>
    <w:p w:rsidR="00CD52BC" w:rsidRPr="0048583A" w:rsidRDefault="00CD52BC" w:rsidP="00CD52BC">
      <w:pPr>
        <w:rPr>
          <w:rFonts w:ascii="Times New Roman" w:hAnsi="Times New Roman"/>
          <w:sz w:val="24"/>
          <w:szCs w:val="24"/>
        </w:rPr>
      </w:pP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kereszténység három évszázados történelmi vándorlás, üldözésekkel tarkított elnyomás után élte meg azt a sorsfordító történelmi változást, amelyet a Milánói Ediktum 313-as kiad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sa, illetve az ezzel bevezetett átalakulás hozott a számára. Az érem egyik oldala a vallásgy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korlás szabadságának a biztosítása, az egyházszerveződés felgyorsult folyamatai tanításbeli és szervezeti vonatkozásban is a zsinatok munkája nyomán, a kereszténységet elismerő intézk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dések sorozata (mint az elkobzott javak, könyvek visszaszolgáltatása, a templomépítés és 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alakítás támogatása, a </w:t>
      </w:r>
      <w:proofErr w:type="gramStart"/>
      <w:r>
        <w:rPr>
          <w:rFonts w:ascii="Times New Roman" w:hAnsi="Times New Roman"/>
          <w:sz w:val="24"/>
          <w:szCs w:val="24"/>
        </w:rPr>
        <w:t>vasárnapnak</w:t>
      </w:r>
      <w:proofErr w:type="gramEnd"/>
      <w:r>
        <w:rPr>
          <w:rFonts w:ascii="Times New Roman" w:hAnsi="Times New Roman"/>
          <w:sz w:val="24"/>
          <w:szCs w:val="24"/>
        </w:rPr>
        <w:t xml:space="preserve"> mint ünnepnapnak a védelme), ami az Ószövetségben 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vasható nagy történelmi szabadítások emlékét idézte fel és tudatosította a korabeli keresztén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ségben.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Az érem másik oldalán azonban egyre fényesebben díszlett a császár képm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sa, ami a kibontakozó átalakulás politikai és társadalmi árát is jelentette: a kereszténység a bir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dalom megújításának szellemi és tevőleges részvevője lett. Gyülekezeti szinten mélyreható feszül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ségeket keltett a gyülekezetekbe való, feltartóztathatatlan és tömeges 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áramlás, ami minden missziói lehetőség ellenére sem hozhatta meg a hitbeli mélység és a keresztény sze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lemiség minőségének a megőrzését. Szélesebb összefüggésekben pedig az egyház a hivatalos polit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 részévé vált – itt elég példaként utalnunk arra, hogy a császár közvetlenül és döntő módon befolyásolta, sőt nem ritkán uralta akár az egyházi szerveződésnek, akár teológiai tisztázód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sának a folyamatait. Az ariánus vita 4. századi változatos, a császári állásponton ez ellentétes oldalak között váltakozó története és politikai kezelése ékes példája a „hitvallásos” és a „hiv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talos” teológia összetűzésének, aminek messzemenő következményei voltak az átalakuló egyházi sze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vezetre is.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2"/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fordulat nagyságát és mélységét tekintve tehát kézenfekvő lenne az 1700 évvel ezelőtti fo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dulatot inkább a totalitárius diktatúrákat követő </w:t>
      </w:r>
      <w:proofErr w:type="gramStart"/>
      <w:r>
        <w:rPr>
          <w:rFonts w:ascii="Times New Roman" w:hAnsi="Times New Roman"/>
          <w:sz w:val="24"/>
          <w:szCs w:val="24"/>
        </w:rPr>
        <w:t>rendszerváltozás(</w:t>
      </w:r>
      <w:proofErr w:type="gramEnd"/>
      <w:r>
        <w:rPr>
          <w:rFonts w:ascii="Times New Roman" w:hAnsi="Times New Roman"/>
          <w:sz w:val="24"/>
          <w:szCs w:val="24"/>
        </w:rPr>
        <w:t>ok) korával párhuzamba állítani a 20. század történetében, hiszen ebből az időből is ismerünk „kárpótlási”, azaz visszaszolgáltatási intézkedéseket, szintén megnyíltak új lehetőségek az infrastruktúra megújít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sára és bővítésére, s néhány időközben elvérzett kísérlet történt még a vasárnap védelme 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dekében is. Ahhoz azonban, hogy az állam és az egyház közötti kapcsolatok legújabb kori összefüggéseit elemezni tudjuk, elkerülhetetlen az éppen ebben a kapcsolatrendszerben 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moly változásokat, mély sérüléseket hozó totalitárius diktatúrák, </w:t>
      </w:r>
      <w:r>
        <w:rPr>
          <w:rFonts w:ascii="Times New Roman" w:hAnsi="Times New Roman"/>
          <w:sz w:val="24"/>
          <w:szCs w:val="24"/>
        </w:rPr>
        <w:lastRenderedPageBreak/>
        <w:t>illetve a hátterükben megh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zódó totalitárius ideológiák világával való összeütközés vizsgálata.</w:t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</w:p>
    <w:p w:rsidR="00CD52BC" w:rsidRPr="00115F17" w:rsidRDefault="00CD52BC" w:rsidP="00CD52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Ideologikus fertőzés és diktatórikus betegség</w:t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totalitárius diktatúrák – legyenek azok fasiszta-nemzetiszocialista vagy kommunista-szocialista jellegűek – rendszerszervezési törekvésükben ugyanazokon a stratégiai töréspo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tokon konfrontálódtak a kereszténységgel: a társadalmi kapcsolatok és jelenlét, az ifjúság 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velése, valamint a társadalmi nyilvánosság területén. Az első szorosan összefügg a teljes tá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sadalmi önszerveződés felszámolásával, amiben az egyházak – mint reakciós és maradi 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nyezők – kiszorítása központi probléma volt, és az egyesületek, szerzetesi közösségek felsz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molásán túl a gyülekezeti élet társadalmi elszigeteléséhez, gettósításához vezetett. A második kérdéskör az ifjúság nevelése volt, ami egyszerre irányult az egyházi oktatás-nevelés felsz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molására, a keresztény közösségekben végzett hitoktatói, bérmálási/konfirmációs munka ell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hetetlenítésére, valamint a családi élet és az ott zajló értékelvű neveltetésbe való erőszakos beavatkozásra. Végül a társadalmi nyilvánosságban sem csupán az egyházi, illetve keres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tény-vallásos megszólalások korlátozása, cenzúrája lett elfogadott politikai cél, hanem a nyi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vános propaganda gátlástalan felhasználása az egyházak és a keresztény vallásosság ellehete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lenítésére, sőt maguknak az egyházi és vallásos megnyilvánulásoknak a lehetőség (vagy ol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kor akár a lehetetlenség) szerinti felhasználására a rendszer és az ideológiai tartalom alát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masztására, akár a politikai igények kiszolgálására.</w:t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diktatórikus hatalomátvételek és rendszerszintű berendezkedések egyhamar tudatosították az egyházakban és a teológusokban, hogy a diktatórikus hatalom által hangoztatott „(antag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nisztikus) ideológiai ellentét” nemcsak gyakorlati, hanem sokrétű „világnézeti” ellentétet is jelent, azaz komoly teológiai dimenziója van. Mindez természetesen a mai kutatásban is tud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tosítja, hogy a totalitarizmusnak nemcsak konkrét eseménytörténete van, ami szerves része a korszak általános történelmének is, hanem ezzel párhuzamosan és túlmenően létezik a total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tárius eszmerendszerekre, ideológiákra vonatkozó viszonyulás vonala is a történelem menet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ben. Annál is inkább kell ezt tudatosítanunk és hangsúlyoznunk, mert mindenki előtt nyilvá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való tény, hogy ezek az ideológiák akkor is léteznek és hatnak, ha éppen nem tudják magu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hoz ragadni a hatalmat és </w:t>
      </w:r>
      <w:proofErr w:type="gramStart"/>
      <w:r>
        <w:rPr>
          <w:rFonts w:ascii="Times New Roman" w:hAnsi="Times New Roman"/>
          <w:sz w:val="24"/>
          <w:szCs w:val="24"/>
        </w:rPr>
        <w:t>átfogó</w:t>
      </w:r>
      <w:proofErr w:type="gramEnd"/>
      <w:r>
        <w:rPr>
          <w:rFonts w:ascii="Times New Roman" w:hAnsi="Times New Roman"/>
          <w:sz w:val="24"/>
          <w:szCs w:val="24"/>
        </w:rPr>
        <w:t xml:space="preserve"> erőszakot tenni a társadalom és az államberendezkedés ren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szerén. Az egyház- és teológiatörténet számára pedig legalább ennyire nyilvánvaló, hogy a diktatúrákra és ideológiákra adott teológiai reflexió és gyakorlati, életvitelszerű útmutatás a kérdéskör legnagyobb egyházi kihívása.</w:t>
      </w:r>
    </w:p>
    <w:p w:rsidR="00CD52BC" w:rsidRPr="00115F17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megvalósuló diktatúra és a diktatórikus ideológia kettőssége érdekesen mutatkozik meg a konkrét eseménytörténet szintjén is. Mind a nemzetiszocialista, mind a kommunista hatalo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gyakorlásra jellemző az ideológiák mentén szerveződő párthatalom és a kormányzást végző apparátus közötti feszültség az egyházi kérdéskör kezelésében. Ez a kettős vonal kimutatható Németországban Hitler idején, ahol a „Führer” az 1930-as évek során hol az NSDAP főide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lógusai által megálmodott forgatókönyvet, hol a miniszteriális rendszereken keresztül igyek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zett a protestáns egyházakat maga alá gyűrni. Ezt elemezve láthatjuk a birodalmi elv egyházra való kiterjesztésének ideológiai kísérletét, majd ennek kudarca után a </w:t>
      </w:r>
      <w:r>
        <w:rPr>
          <w:rFonts w:ascii="Times New Roman" w:hAnsi="Times New Roman"/>
          <w:sz w:val="24"/>
          <w:szCs w:val="24"/>
        </w:rPr>
        <w:lastRenderedPageBreak/>
        <w:t>kormányzati ellenőrzés alá vonás pragmatikus lépéseit, miközben a nácizmus eszmei kérdéseiben továbbra is erősz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kos hatások tömkelegének tették ki az egyházakat (pl. a zsidókérdésben). Bizonyossággal mondhatjuk ki, hogy a hatalomnak kétféle ága, s ezzel együtt kettős – kormányzati és pártid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ológiai – eszköztára egymástól megkülönböztethetően, mégis együttesen szolgálták a diktátor és a diktatúra terveit. Hasonló hatalmi </w:t>
      </w:r>
      <w:proofErr w:type="gramStart"/>
      <w:r>
        <w:rPr>
          <w:rFonts w:ascii="Times New Roman" w:hAnsi="Times New Roman"/>
          <w:sz w:val="24"/>
          <w:szCs w:val="24"/>
        </w:rPr>
        <w:t>polarizáció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a kommunista diktatúrákra is, erre hozhatjuk példának a magyar kommunista-szocialista korszakot is, ahol a – változó nevű – kommunista párt agitprop ágazata, a belügyminisztérium politikailag instruált III. főosztálya és az Állami Egyházügyi Hivatal rendszerében különböző eszközökkel, egymástól ugyan nem függetlenül, de egymás felől olykor nem is informálva ellenőrizték és befolyásolták az egyh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zak működését, mindennapi életét és szolgálták ki a diktatúra céljait.</w:t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</w:p>
    <w:p w:rsidR="00CD52BC" w:rsidRPr="001C76BE" w:rsidRDefault="00CD52BC" w:rsidP="00CD52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evangélikus egyházak reakciói a totális diktatúrák idején</w:t>
      </w:r>
    </w:p>
    <w:p w:rsidR="00CD52BC" w:rsidRDefault="00CD52BC" w:rsidP="00CD52BC">
      <w:pPr>
        <w:pStyle w:val="NormlWeb"/>
        <w:spacing w:before="0" w:beforeAutospacing="0" w:after="200" w:line="276" w:lineRule="auto"/>
      </w:pPr>
      <w:r>
        <w:t xml:space="preserve">A konferencia időkeretei csupán azt teszik lehetővé, hogy néhány szemelvényben tekintsünk ki a különböző totalitárius diktatúrákban élő evangélikus egyházak teológiai és szervezeti válaszkereséseire. A sort nem kezdhetjük mással, mint az 1934-es </w:t>
      </w:r>
      <w:proofErr w:type="spellStart"/>
      <w:r>
        <w:t>Barmeni</w:t>
      </w:r>
      <w:proofErr w:type="spellEnd"/>
      <w:r>
        <w:t xml:space="preserve"> Teológiai </w:t>
      </w:r>
      <w:proofErr w:type="gramStart"/>
      <w:r>
        <w:t>Nyila</w:t>
      </w:r>
      <w:r>
        <w:t>t</w:t>
      </w:r>
      <w:r>
        <w:t>kozattal</w:t>
      </w:r>
      <w:r>
        <w:rPr>
          <w:rStyle w:val="Lbjegyzet-hivatkozs"/>
        </w:rPr>
        <w:footnoteReference w:id="3"/>
      </w:r>
      <w:r>
        <w:t>,</w:t>
      </w:r>
      <w:proofErr w:type="gramEnd"/>
      <w:r>
        <w:t xml:space="preserve"> amelyben mindenekelőtt Karl </w:t>
      </w:r>
      <w:proofErr w:type="spellStart"/>
      <w:r>
        <w:t>Barth</w:t>
      </w:r>
      <w:proofErr w:type="spellEnd"/>
      <w:r>
        <w:t xml:space="preserve">, valamint Thomas </w:t>
      </w:r>
      <w:proofErr w:type="spellStart"/>
      <w:r>
        <w:t>Breit</w:t>
      </w:r>
      <w:proofErr w:type="spellEnd"/>
      <w:r>
        <w:t xml:space="preserve"> és Hans </w:t>
      </w:r>
      <w:proofErr w:type="spellStart"/>
      <w:r>
        <w:t>Asmussen</w:t>
      </w:r>
      <w:proofErr w:type="spellEnd"/>
      <w:r>
        <w:t xml:space="preserve"> munkájával a német protestantizmus 6 pontban fejtette ki teológiai kritikáját a formálódó hi</w:t>
      </w:r>
      <w:r>
        <w:t>t</w:t>
      </w:r>
      <w:r w:rsidRPr="000A1E16">
        <w:t xml:space="preserve">leri diktatúrával szemben. </w:t>
      </w:r>
      <w:r>
        <w:t>A nyilatkozatban ilyen mondatokat olvasunk: „</w:t>
      </w:r>
      <w:r w:rsidRPr="000A1E16">
        <w:t>Elvetjük azt a hamis taní</w:t>
      </w:r>
      <w:r>
        <w:t>tást, amely szerint az egyház igehirdetése forrásaként köteles lenne Istennek ezen egyetlen szaván kívül más tényeket és hatalmasságokat, jelenésegeket és igazságokat Isten kinyilatko</w:t>
      </w:r>
      <w:r>
        <w:t>z</w:t>
      </w:r>
      <w:r>
        <w:t>tatásául elfogadni.” (1</w:t>
      </w:r>
      <w:r w:rsidRPr="000A1E16">
        <w:t xml:space="preserve">. tétel) </w:t>
      </w:r>
      <w:r>
        <w:t>„Elvetjük azt a hamis tanítást, hogy amely szerint az egyházban ezen az egy szolgálaton kívül hatalmi szóval kiküldött vezérek is lehetnének, vagy ilyeneket elfogadhatna az egyház.” (4. tétel) „</w:t>
      </w:r>
      <w:r w:rsidRPr="000A1E16">
        <w:t xml:space="preserve">Elvetjük azt a hamis tanítást, amely szerint az egyház </w:t>
      </w:r>
      <w:r>
        <w:t xml:space="preserve">az Úr szavát és tetteit az </w:t>
      </w:r>
      <w:r w:rsidRPr="000A1E16">
        <w:t xml:space="preserve">emberi </w:t>
      </w:r>
      <w:r>
        <w:t>dicsőségtől elkáprázottan valami önkényesen választott kívá</w:t>
      </w:r>
      <w:r>
        <w:t>n</w:t>
      </w:r>
      <w:r>
        <w:t>ság, cél vagy terv szolgálatába állíthatná.”</w:t>
      </w:r>
      <w:r w:rsidRPr="000A1E16">
        <w:t xml:space="preserve"> (6. tétel)</w:t>
      </w:r>
      <w:r>
        <w:t xml:space="preserve"> </w:t>
      </w:r>
      <w:proofErr w:type="gramStart"/>
      <w:r>
        <w:t>A</w:t>
      </w:r>
      <w:proofErr w:type="gramEnd"/>
      <w:r>
        <w:t xml:space="preserve"> jellegzetesen igei alapú (</w:t>
      </w:r>
      <w:proofErr w:type="spellStart"/>
      <w:r>
        <w:t>barthiánus</w:t>
      </w:r>
      <w:proofErr w:type="spellEnd"/>
      <w:r>
        <w:t>) teológiai nyilatkozat világossá tette, hogy a nácizmus ideológiája és hatalomgyakorlása, v</w:t>
      </w:r>
      <w:r>
        <w:t>a</w:t>
      </w:r>
      <w:r>
        <w:t>lamint az egyház teológiája között markáns ellentét áll fenn.</w:t>
      </w:r>
    </w:p>
    <w:p w:rsidR="00CD52BC" w:rsidRPr="000A1E16" w:rsidRDefault="00CD52BC" w:rsidP="00CD52BC">
      <w:pPr>
        <w:pStyle w:val="NormlWeb"/>
        <w:spacing w:before="0" w:beforeAutospacing="0" w:after="200" w:line="276" w:lineRule="auto"/>
      </w:pPr>
      <w:r>
        <w:t xml:space="preserve">Hasonlóan markáns az 1945-ben mártírsorsra jutott német evangélikus teológus, Dietrich </w:t>
      </w:r>
      <w:proofErr w:type="spellStart"/>
      <w:r>
        <w:t>Bonhoeffer</w:t>
      </w:r>
      <w:proofErr w:type="spellEnd"/>
      <w:r>
        <w:t xml:space="preserve"> teológiai álláspontja, aki éppen a nemzetiszocialista diktatúra által támasztott, feltétel nélküli engedelmességi igényével állította szembe a Krisztus hívására engedelmessé</w:t>
      </w:r>
      <w:r>
        <w:t>g</w:t>
      </w:r>
      <w:r>
        <w:t xml:space="preserve">gel követésre induló tanítványok példáját híressé vált könyvében, a </w:t>
      </w:r>
      <w:r>
        <w:rPr>
          <w:i/>
        </w:rPr>
        <w:t>Követésben</w:t>
      </w:r>
      <w:r w:rsidRPr="000A1E16">
        <w:t>:</w:t>
      </w:r>
      <w:r>
        <w:t xml:space="preserve"> „hit csak a (Krisztusnak való) engedelmességben létezik, soha sincs engedelmesség nélkül, s a hit csak az engedelmesség cselekvésében hit.”</w:t>
      </w:r>
      <w:r>
        <w:rPr>
          <w:rStyle w:val="Lbjegyzet-hivatkozs"/>
        </w:rPr>
        <w:footnoteReference w:id="4"/>
      </w:r>
    </w:p>
    <w:p w:rsidR="00CD52BC" w:rsidRPr="007269EF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Kevéssé ismert nemzetközi téren a norvég evangélikus egyház hitvalló küzdelme a német megszállás 1940 és 1945 közötti időszakában. Ebben nem csupán az figyelemre méltó, hogy ezzel a norvég egyház a nemzetiszocialista ideológiával és hatalomgyakorlással szembeni </w:t>
      </w:r>
      <w:r>
        <w:rPr>
          <w:rFonts w:ascii="Times New Roman" w:hAnsi="Times New Roman"/>
          <w:sz w:val="24"/>
          <w:szCs w:val="24"/>
        </w:rPr>
        <w:lastRenderedPageBreak/>
        <w:t>ellenállás vezető erejévé lett Norvégiában, hanem az is, hogy – a világi felsőbbség iránt gya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ran túlzott lojalitással vádolt – lutheránus teológiai hagyományban keresett igazodási pontokat ehhez a kritikus állásponthoz. </w:t>
      </w:r>
      <w:proofErr w:type="gramStart"/>
      <w:r>
        <w:rPr>
          <w:rFonts w:ascii="Times New Roman" w:hAnsi="Times New Roman"/>
          <w:sz w:val="24"/>
          <w:szCs w:val="24"/>
        </w:rPr>
        <w:t xml:space="preserve">A közvetlen hivatkozás Lutherre – „ha részeg a kocsis, le kell lökni a bakról” – csupán kiindulópontja volt egy olyan teológiai folyamatnak, amelyben </w:t>
      </w:r>
      <w:proofErr w:type="spellStart"/>
      <w:r>
        <w:rPr>
          <w:rFonts w:ascii="Times New Roman" w:hAnsi="Times New Roman"/>
          <w:sz w:val="24"/>
          <w:szCs w:val="24"/>
        </w:rPr>
        <w:t>Eivind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Berggrav</w:t>
      </w:r>
      <w:proofErr w:type="spellEnd"/>
      <w:r>
        <w:rPr>
          <w:rFonts w:ascii="Times New Roman" w:hAnsi="Times New Roman"/>
          <w:sz w:val="24"/>
          <w:szCs w:val="24"/>
        </w:rPr>
        <w:t xml:space="preserve"> püspök vezetésével 1942-ben eljutottak </w:t>
      </w:r>
      <w:r>
        <w:rPr>
          <w:rFonts w:ascii="Times New Roman" w:hAnsi="Times New Roman"/>
          <w:i/>
          <w:sz w:val="24"/>
          <w:szCs w:val="24"/>
        </w:rPr>
        <w:t>Az egyház alapja</w:t>
      </w:r>
      <w:r>
        <w:rPr>
          <w:rFonts w:ascii="Times New Roman" w:hAnsi="Times New Roman"/>
          <w:sz w:val="24"/>
          <w:szCs w:val="24"/>
        </w:rPr>
        <w:t xml:space="preserve"> címet viselő hitva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láshoz, amelyben a következőket olvashatjuk: „Ha tehát a felsőbbség félelemmel tölti el a lelkeket, holott ezek csak Isten útját járják, az nem Isten akarata szerinti felsőbbség, és ilye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kor az egyház Isten és ember előtti kötelessége, hogy az igazság szavát hallassa e felsőbbség számára.</w:t>
      </w:r>
      <w:proofErr w:type="gramEnd"/>
      <w:r>
        <w:rPr>
          <w:rFonts w:ascii="Times New Roman" w:hAnsi="Times New Roman"/>
          <w:sz w:val="24"/>
          <w:szCs w:val="24"/>
        </w:rPr>
        <w:t xml:space="preserve"> Ahogyan az Írás mondja: </w:t>
      </w:r>
      <w:r w:rsidRPr="00BB75AB">
        <w:rPr>
          <w:rFonts w:ascii="Times New Roman" w:hAnsi="Times New Roman"/>
          <w:i/>
          <w:sz w:val="24"/>
          <w:szCs w:val="24"/>
        </w:rPr>
        <w:t>Emberfia! Őrállóvá tettelek téged Izráel házában. Ha igét hallasz tőlem, figyelmeztesd őket az én nevemben! (Ez 3,17)</w:t>
      </w:r>
      <w:r>
        <w:rPr>
          <w:rFonts w:ascii="Times New Roman" w:hAnsi="Times New Roman"/>
          <w:sz w:val="24"/>
          <w:szCs w:val="24"/>
        </w:rPr>
        <w:t>”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5"/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 a tapasztalatok közvetlenül hatottak a magyarországi protestantizmusra a komm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nista diktatúra második világháború utáni kiépülése idején. </w:t>
      </w:r>
      <w:proofErr w:type="spellStart"/>
      <w:r>
        <w:rPr>
          <w:rFonts w:ascii="Times New Roman" w:hAnsi="Times New Roman"/>
          <w:sz w:val="24"/>
          <w:szCs w:val="24"/>
        </w:rPr>
        <w:t>Barth</w:t>
      </w:r>
      <w:proofErr w:type="spellEnd"/>
      <w:r>
        <w:rPr>
          <w:rFonts w:ascii="Times New Roman" w:hAnsi="Times New Roman"/>
          <w:sz w:val="24"/>
          <w:szCs w:val="24"/>
        </w:rPr>
        <w:t xml:space="preserve"> teológiája és az ebből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vetkező ellenálló állásfoglalása különösen a református körökben terjedtek, amit sajnálatos módon később beárnyékolt a svájci teológus baloldali beállítottsága, s ennek nyomán a kevé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bé határozott kiállása a kommunista diktatúrával szemben. </w:t>
      </w:r>
      <w:proofErr w:type="spellStart"/>
      <w:r>
        <w:rPr>
          <w:rFonts w:ascii="Times New Roman" w:hAnsi="Times New Roman"/>
          <w:sz w:val="24"/>
          <w:szCs w:val="24"/>
        </w:rPr>
        <w:t>Eivind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Berggrav</w:t>
      </w:r>
      <w:proofErr w:type="spellEnd"/>
      <w:r>
        <w:rPr>
          <w:rFonts w:ascii="Times New Roman" w:hAnsi="Times New Roman"/>
          <w:sz w:val="24"/>
          <w:szCs w:val="24"/>
        </w:rPr>
        <w:t xml:space="preserve"> norvég püspök viszont nemcsak hivatalosan is kiállt a hitvalló evangélikus püspök, </w:t>
      </w:r>
      <w:proofErr w:type="spellStart"/>
      <w:r>
        <w:rPr>
          <w:rFonts w:ascii="Times New Roman" w:hAnsi="Times New Roman"/>
          <w:sz w:val="24"/>
          <w:szCs w:val="24"/>
        </w:rPr>
        <w:t>Ordass</w:t>
      </w:r>
      <w:proofErr w:type="spellEnd"/>
      <w:r>
        <w:rPr>
          <w:rFonts w:ascii="Times New Roman" w:hAnsi="Times New Roman"/>
          <w:sz w:val="24"/>
          <w:szCs w:val="24"/>
        </w:rPr>
        <w:t xml:space="preserve"> Lajos mellett a magyar kormánynál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, hanem tanácsokkal is ellátta őt a várható összetűzések idejére: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vég egyházi harcban szerzett tapasztalataiból legalább egynéhány egymondatos tanácsot adott. Ilyenféleképpen: </w:t>
      </w:r>
      <w:r>
        <w:rPr>
          <w:rFonts w:ascii="Times New Roman" w:hAnsi="Times New Roman"/>
          <w:i/>
          <w:sz w:val="24"/>
          <w:szCs w:val="24"/>
        </w:rPr>
        <w:t>Nem elsietni a dolgokat, de egy pillanatra sem elkésni! – Kicsi és nagy dolgok között élesen különbséget tenni! – tisztára a Biblia és a Hitvallási-iratok alapján állva folytatni a küzdelmet! – Lehetőleg semmit sem följegyezni! Inkább vesszen el valami az eml</w:t>
      </w:r>
      <w:r>
        <w:rPr>
          <w:rFonts w:ascii="Times New Roman" w:hAnsi="Times New Roman"/>
          <w:i/>
          <w:sz w:val="24"/>
          <w:szCs w:val="24"/>
        </w:rPr>
        <w:t>é</w:t>
      </w:r>
      <w:r>
        <w:rPr>
          <w:rFonts w:ascii="Times New Roman" w:hAnsi="Times New Roman"/>
          <w:i/>
          <w:sz w:val="24"/>
          <w:szCs w:val="24"/>
        </w:rPr>
        <w:t>kezetből, mint feljegyzéssel okot adni a vádaskodásra!</w:t>
      </w:r>
      <w:r w:rsidRPr="0044179C">
        <w:rPr>
          <w:rFonts w:ascii="Times New Roman" w:hAnsi="Times New Roman"/>
          <w:sz w:val="24"/>
          <w:szCs w:val="24"/>
        </w:rPr>
        <w:t>”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A diktatúra kibontakozása nyomán a társadalmi térben, az oktatás-nevelésben és a köznyilvánosságban </w:t>
      </w:r>
      <w:proofErr w:type="spellStart"/>
      <w:r>
        <w:rPr>
          <w:rFonts w:ascii="Times New Roman" w:hAnsi="Times New Roman"/>
          <w:sz w:val="24"/>
          <w:szCs w:val="24"/>
        </w:rPr>
        <w:t>Ordass</w:t>
      </w:r>
      <w:proofErr w:type="spellEnd"/>
      <w:r>
        <w:rPr>
          <w:rFonts w:ascii="Times New Roman" w:hAnsi="Times New Roman"/>
          <w:sz w:val="24"/>
          <w:szCs w:val="24"/>
        </w:rPr>
        <w:t xml:space="preserve"> Lajost – ellenálló kiállása miatt – börtönbe vetették, majd ismételten félreállították.</w:t>
      </w:r>
    </w:p>
    <w:p w:rsidR="00CD52BC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Újfajta kihívást jelentett az 1956 előtti és azt követő nyílt diktatúra után, az ún. </w:t>
      </w:r>
      <w:proofErr w:type="gramStart"/>
      <w:r>
        <w:rPr>
          <w:rFonts w:ascii="Times New Roman" w:hAnsi="Times New Roman"/>
          <w:sz w:val="24"/>
          <w:szCs w:val="24"/>
        </w:rPr>
        <w:t>kádári</w:t>
      </w:r>
      <w:proofErr w:type="gramEnd"/>
      <w:r>
        <w:rPr>
          <w:rFonts w:ascii="Times New Roman" w:hAnsi="Times New Roman"/>
          <w:sz w:val="24"/>
          <w:szCs w:val="24"/>
        </w:rPr>
        <w:t xml:space="preserve"> konsz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lidáció nyomán kibontakozó újabb szocialista berendezkedés, amely a rendszer legitimálása érdekében az egyházak irányában is kettős politikát követett. Egyrészt fenntartotta, sőt kite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jesztette a kormányzati és belügyi felügyelet és beavatkozás rendszerét, a másik oldalon 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szont igyekezett a népfrontpolitika keretein belül szerepeltetni őket egy semlegesített társ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dalmi szerepkörben. Az egyházi útkeresés ebben az időben a nyílt együttműködéstől az adott körülmények közötti, „ahogyan lehet” alapon álló berendezkedésen át az ellenzéki ellenállásig terjedt. Mindezeknek a vonalaknak a teológiai lenyomata ma már kutatható, és a korszak fe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dolgozásában elkerülhetetlen feladat. Ugyanakkor ezek a dilemmák visszavezetnek minket a sokkal messzebbre, a mai megemlékezésünk témáját adó konstantini fordulathoz is, amellyel az antik császár a misszió és tanúságtétel, a társadalmi nyilvánosság és a politika közötti ú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vesztők, alkurendszerek és hitvalló helytállások világába vezette az egyházat, az egyházakat. Amikor a vallásszabadság ünnepeként idézzük fel az 1700 évvel ezelőtti fordulatot, arra is kell emlékeznünk, hogy időről-időre milyen árat kellett ezért fizetnie a kereszténységnek.</w:t>
      </w:r>
    </w:p>
    <w:p w:rsidR="00CD52BC" w:rsidRPr="0048583A" w:rsidRDefault="00CD52BC" w:rsidP="00CD52BC">
      <w:pPr>
        <w:rPr>
          <w:rFonts w:ascii="Times New Roman" w:hAnsi="Times New Roman"/>
          <w:sz w:val="24"/>
          <w:szCs w:val="24"/>
        </w:rPr>
      </w:pPr>
    </w:p>
    <w:p w:rsidR="00CD52BC" w:rsidRPr="0048583A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 w:rsidRPr="0048583A">
        <w:rPr>
          <w:rFonts w:ascii="Times New Roman" w:hAnsi="Times New Roman"/>
          <w:sz w:val="24"/>
          <w:szCs w:val="24"/>
        </w:rPr>
        <w:t>Dr. Korányi</w:t>
      </w:r>
      <w:r>
        <w:rPr>
          <w:rFonts w:ascii="Times New Roman" w:hAnsi="Times New Roman"/>
          <w:sz w:val="24"/>
          <w:szCs w:val="24"/>
        </w:rPr>
        <w:t xml:space="preserve"> András</w:t>
      </w:r>
    </w:p>
    <w:p w:rsidR="00CD52BC" w:rsidRPr="0048583A" w:rsidRDefault="00CD52BC" w:rsidP="00CD52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Evangé</w:t>
      </w:r>
      <w:r w:rsidRPr="0048583A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kus Hittudományi Egyetem</w:t>
      </w:r>
      <w:r w:rsidRPr="0048583A">
        <w:rPr>
          <w:rFonts w:ascii="Times New Roman" w:hAnsi="Times New Roman"/>
          <w:sz w:val="24"/>
          <w:szCs w:val="24"/>
        </w:rPr>
        <w:t>, Budapest</w:t>
      </w:r>
    </w:p>
    <w:p w:rsidR="00CD52BC" w:rsidRPr="0048583A" w:rsidRDefault="00CD52BC" w:rsidP="00CD52BC">
      <w:pPr>
        <w:rPr>
          <w:rFonts w:ascii="Times New Roman" w:hAnsi="Times New Roman"/>
          <w:sz w:val="24"/>
          <w:szCs w:val="24"/>
        </w:rPr>
      </w:pPr>
    </w:p>
    <w:p w:rsidR="00CD52BC" w:rsidRPr="00CD52BC" w:rsidRDefault="00CD52BC" w:rsidP="00CD52BC">
      <w:pPr>
        <w:rPr>
          <w:rFonts w:ascii="Times New Roman" w:hAnsi="Times New Roman"/>
          <w:smallCaps/>
          <w:outline/>
          <w:color w:val="000000"/>
          <w:sz w:val="24"/>
          <w:szCs w:val="24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CD52BC" w:rsidRPr="0048583A" w:rsidRDefault="00CD52BC" w:rsidP="00CD52BC">
      <w:pPr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Irodalom</w:t>
      </w: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proofErr w:type="spellStart"/>
      <w:r w:rsidRPr="00301033">
        <w:rPr>
          <w:rFonts w:ascii="Times New Roman" w:hAnsi="Times New Roman"/>
          <w:sz w:val="24"/>
          <w:szCs w:val="24"/>
        </w:rPr>
        <w:t>Barmeni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 Teológiai Nyilatkozat. </w:t>
      </w:r>
      <w:proofErr w:type="spellStart"/>
      <w:r w:rsidRPr="00301033">
        <w:rPr>
          <w:rFonts w:ascii="Times New Roman" w:hAnsi="Times New Roman"/>
          <w:sz w:val="24"/>
          <w:szCs w:val="24"/>
        </w:rPr>
        <w:t>In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: Evangélikus </w:t>
      </w:r>
      <w:proofErr w:type="spellStart"/>
      <w:r w:rsidRPr="00301033">
        <w:rPr>
          <w:rFonts w:ascii="Times New Roman" w:hAnsi="Times New Roman"/>
          <w:sz w:val="24"/>
          <w:szCs w:val="24"/>
        </w:rPr>
        <w:t>Theologia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 1948/1</w:t>
      </w: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proofErr w:type="spellStart"/>
      <w:r w:rsidRPr="00301033">
        <w:rPr>
          <w:rFonts w:ascii="Times New Roman" w:hAnsi="Times New Roman"/>
          <w:sz w:val="24"/>
          <w:szCs w:val="24"/>
        </w:rPr>
        <w:t>Bonhoeffer</w:t>
      </w:r>
      <w:proofErr w:type="spellEnd"/>
      <w:r w:rsidRPr="00301033">
        <w:rPr>
          <w:rFonts w:ascii="Times New Roman" w:hAnsi="Times New Roman"/>
          <w:sz w:val="24"/>
          <w:szCs w:val="24"/>
        </w:rPr>
        <w:t>, Dietrich: Követés. Luther Kiadó, Budapest, 2007.</w:t>
      </w: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</w:p>
    <w:p w:rsidR="00CD52BC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r w:rsidRPr="00301033">
        <w:rPr>
          <w:rFonts w:ascii="Times New Roman" w:hAnsi="Times New Roman"/>
          <w:sz w:val="24"/>
          <w:szCs w:val="24"/>
        </w:rPr>
        <w:t>Korányi András - Orosz Gábor Viktor - Reuss András: A norvég egyházi harc. Küzdelem az ideológiával 1940-1945. Luther Kiadó, Budapest, 2007.</w:t>
      </w:r>
    </w:p>
    <w:p w:rsidR="00CD52BC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Korányi András: Hanem szeretni is. </w:t>
      </w:r>
      <w:proofErr w:type="spellStart"/>
      <w:r>
        <w:rPr>
          <w:rFonts w:ascii="Times New Roman" w:hAnsi="Times New Roman"/>
          <w:sz w:val="24"/>
          <w:szCs w:val="24"/>
        </w:rPr>
        <w:t>Káldy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püspök szolgálata itthon és külföldön. Lu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 Kiadó, Budapest, 2012.</w:t>
      </w: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proofErr w:type="spellStart"/>
      <w:r w:rsidRPr="00301033">
        <w:rPr>
          <w:rFonts w:ascii="Times New Roman" w:hAnsi="Times New Roman"/>
          <w:sz w:val="24"/>
          <w:szCs w:val="24"/>
        </w:rPr>
        <w:t>Ordass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 Lajos: Akikkel az Úton találkoztam. </w:t>
      </w:r>
      <w:proofErr w:type="spellStart"/>
      <w:r w:rsidRPr="00301033">
        <w:rPr>
          <w:rFonts w:ascii="Times New Roman" w:hAnsi="Times New Roman"/>
          <w:sz w:val="24"/>
          <w:szCs w:val="24"/>
        </w:rPr>
        <w:t>Ordass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 Lajos Baráti Kör, Budapest, 1996.</w:t>
      </w: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</w:p>
    <w:p w:rsidR="00CD52BC" w:rsidRPr="00301033" w:rsidRDefault="00CD52BC" w:rsidP="00CD52BC">
      <w:pPr>
        <w:pStyle w:val="Lbjegyzetszveg"/>
        <w:rPr>
          <w:rFonts w:ascii="Times New Roman" w:hAnsi="Times New Roman"/>
          <w:sz w:val="24"/>
          <w:szCs w:val="24"/>
        </w:rPr>
      </w:pPr>
      <w:proofErr w:type="spellStart"/>
      <w:r w:rsidRPr="00301033">
        <w:rPr>
          <w:rFonts w:ascii="Times New Roman" w:hAnsi="Times New Roman"/>
          <w:sz w:val="24"/>
          <w:szCs w:val="24"/>
        </w:rPr>
        <w:t>Ordass</w:t>
      </w:r>
      <w:proofErr w:type="spellEnd"/>
      <w:r w:rsidRPr="00301033">
        <w:rPr>
          <w:rFonts w:ascii="Times New Roman" w:hAnsi="Times New Roman"/>
          <w:sz w:val="24"/>
          <w:szCs w:val="24"/>
        </w:rPr>
        <w:t xml:space="preserve"> Lajos: Önéletrajzi Írások I. Európai Protestáns Magyar Szabadegyetem, Bern, 1985. </w:t>
      </w:r>
    </w:p>
    <w:p w:rsidR="00CD52BC" w:rsidRPr="00301033" w:rsidRDefault="00CD52BC" w:rsidP="00CD5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671" w:rsidRDefault="00CD52BC" w:rsidP="00CD52BC">
      <w:r w:rsidRPr="00301033">
        <w:rPr>
          <w:rFonts w:ascii="Times New Roman" w:hAnsi="Times New Roman"/>
          <w:sz w:val="24"/>
          <w:szCs w:val="24"/>
        </w:rPr>
        <w:t>Vajta, Vilmos: A diakóniai teológia a magyar társadalmi rendszerben. Luther Kiadó, Bud</w:t>
      </w:r>
      <w:r w:rsidRPr="00301033">
        <w:rPr>
          <w:rFonts w:ascii="Times New Roman" w:hAnsi="Times New Roman"/>
          <w:sz w:val="24"/>
          <w:szCs w:val="24"/>
        </w:rPr>
        <w:t>a</w:t>
      </w:r>
      <w:r w:rsidRPr="0048583A">
        <w:rPr>
          <w:rFonts w:ascii="Times New Roman" w:hAnsi="Times New Roman"/>
          <w:sz w:val="24"/>
          <w:szCs w:val="24"/>
        </w:rPr>
        <w:t>pest 2006</w:t>
      </w:r>
      <w:r w:rsidR="00D43DA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DD3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E7" w:rsidRDefault="00674CE7" w:rsidP="00CD52BC">
      <w:pPr>
        <w:spacing w:after="0" w:line="240" w:lineRule="auto"/>
      </w:pPr>
      <w:r>
        <w:separator/>
      </w:r>
    </w:p>
  </w:endnote>
  <w:endnote w:type="continuationSeparator" w:id="0">
    <w:p w:rsidR="00674CE7" w:rsidRDefault="00674CE7" w:rsidP="00CD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E7" w:rsidRDefault="00674CE7" w:rsidP="00CD52BC">
      <w:pPr>
        <w:spacing w:after="0" w:line="240" w:lineRule="auto"/>
      </w:pPr>
      <w:r>
        <w:separator/>
      </w:r>
    </w:p>
  </w:footnote>
  <w:footnote w:type="continuationSeparator" w:id="0">
    <w:p w:rsidR="00674CE7" w:rsidRDefault="00674CE7" w:rsidP="00CD52BC">
      <w:pPr>
        <w:spacing w:after="0" w:line="240" w:lineRule="auto"/>
      </w:pPr>
      <w:r>
        <w:continuationSeparator/>
      </w:r>
    </w:p>
  </w:footnote>
  <w:footnote w:id="1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A konstantini Római </w:t>
      </w:r>
      <w:proofErr w:type="gramStart"/>
      <w:r w:rsidRPr="005B6DEF">
        <w:rPr>
          <w:rFonts w:ascii="Times New Roman" w:hAnsi="Times New Roman"/>
        </w:rPr>
        <w:t>Birodalomnak</w:t>
      </w:r>
      <w:proofErr w:type="gramEnd"/>
      <w:r w:rsidRPr="005B6DEF">
        <w:rPr>
          <w:rFonts w:ascii="Times New Roman" w:hAnsi="Times New Roman"/>
        </w:rPr>
        <w:t xml:space="preserve"> mint az isteni gondviselés eszközének a bibliai párhuzama elsősorban az asszír-babiloni fogság nagy szabadító uralkodója, </w:t>
      </w:r>
      <w:proofErr w:type="spellStart"/>
      <w:r w:rsidRPr="005B6DEF">
        <w:rPr>
          <w:rFonts w:ascii="Times New Roman" w:hAnsi="Times New Roman"/>
        </w:rPr>
        <w:t>Círusz</w:t>
      </w:r>
      <w:proofErr w:type="spellEnd"/>
      <w:r w:rsidRPr="005B6DEF">
        <w:rPr>
          <w:rFonts w:ascii="Times New Roman" w:hAnsi="Times New Roman"/>
        </w:rPr>
        <w:t xml:space="preserve"> király, aki az addig ellenséges és leigázó birodalom uralkodójaként, ugyanakkor Isten választott eszközeként lesz a zsidóság szabadítója. A kereszténybarát Római Birodalomnak ilyen gondviselésszerű összefonódása Isten evilági és üdvtörténeti terveivel közvetlenül inspirá</w:t>
      </w:r>
      <w:r w:rsidRPr="005B6DEF">
        <w:rPr>
          <w:rFonts w:ascii="Times New Roman" w:hAnsi="Times New Roman"/>
        </w:rPr>
        <w:t>l</w:t>
      </w:r>
      <w:r w:rsidRPr="005B6DEF">
        <w:rPr>
          <w:rFonts w:ascii="Times New Roman" w:hAnsi="Times New Roman"/>
        </w:rPr>
        <w:t xml:space="preserve">ták Augustinus nagy művének, a </w:t>
      </w:r>
      <w:r w:rsidRPr="005B6DEF">
        <w:rPr>
          <w:rFonts w:ascii="Times New Roman" w:hAnsi="Times New Roman"/>
          <w:i/>
        </w:rPr>
        <w:t xml:space="preserve">De </w:t>
      </w:r>
      <w:proofErr w:type="spellStart"/>
      <w:r w:rsidRPr="005B6DEF">
        <w:rPr>
          <w:rFonts w:ascii="Times New Roman" w:hAnsi="Times New Roman"/>
          <w:i/>
        </w:rPr>
        <w:t>Civitate</w:t>
      </w:r>
      <w:proofErr w:type="spellEnd"/>
      <w:r w:rsidRPr="005B6DEF">
        <w:rPr>
          <w:rFonts w:ascii="Times New Roman" w:hAnsi="Times New Roman"/>
          <w:i/>
        </w:rPr>
        <w:t xml:space="preserve"> </w:t>
      </w:r>
      <w:proofErr w:type="spellStart"/>
      <w:r w:rsidRPr="005B6DEF">
        <w:rPr>
          <w:rFonts w:ascii="Times New Roman" w:hAnsi="Times New Roman"/>
          <w:i/>
        </w:rPr>
        <w:t>Dei</w:t>
      </w:r>
      <w:r w:rsidRPr="005B6DEF">
        <w:rPr>
          <w:rFonts w:ascii="Times New Roman" w:hAnsi="Times New Roman"/>
        </w:rPr>
        <w:t>-nek</w:t>
      </w:r>
      <w:proofErr w:type="spellEnd"/>
      <w:r w:rsidRPr="005B6DEF">
        <w:rPr>
          <w:rFonts w:ascii="Times New Roman" w:hAnsi="Times New Roman"/>
        </w:rPr>
        <w:t xml:space="preserve"> a megírását az 5. században kibontakozó válság és bir</w:t>
      </w:r>
      <w:r w:rsidRPr="005B6DEF">
        <w:rPr>
          <w:rFonts w:ascii="Times New Roman" w:hAnsi="Times New Roman"/>
        </w:rPr>
        <w:t>o</w:t>
      </w:r>
      <w:r w:rsidRPr="005B6DEF">
        <w:rPr>
          <w:rFonts w:ascii="Times New Roman" w:hAnsi="Times New Roman"/>
        </w:rPr>
        <w:t>dalmi összeomlás időszakában.</w:t>
      </w:r>
    </w:p>
  </w:footnote>
  <w:footnote w:id="2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Elegendő itt két nagynevű egyházatyára utalnunk: </w:t>
      </w:r>
      <w:proofErr w:type="spellStart"/>
      <w:r w:rsidRPr="005B6DEF">
        <w:rPr>
          <w:rFonts w:ascii="Times New Roman" w:hAnsi="Times New Roman"/>
        </w:rPr>
        <w:t>Athanáziosz</w:t>
      </w:r>
      <w:proofErr w:type="spellEnd"/>
      <w:r w:rsidRPr="005B6DEF">
        <w:rPr>
          <w:rFonts w:ascii="Times New Roman" w:hAnsi="Times New Roman"/>
        </w:rPr>
        <w:t xml:space="preserve"> (†373) alexandriai pátriárkára, akit az ariánus </w:t>
      </w:r>
      <w:proofErr w:type="gramStart"/>
      <w:r w:rsidRPr="005B6DEF">
        <w:rPr>
          <w:rFonts w:ascii="Times New Roman" w:hAnsi="Times New Roman"/>
        </w:rPr>
        <w:t>vita különböző</w:t>
      </w:r>
      <w:proofErr w:type="gramEnd"/>
      <w:r w:rsidRPr="005B6DEF">
        <w:rPr>
          <w:rFonts w:ascii="Times New Roman" w:hAnsi="Times New Roman"/>
        </w:rPr>
        <w:t xml:space="preserve"> szakaszaiban összesen ötször száműztek, illetve büntettek meg a niceai zsinati határozatok me</w:t>
      </w:r>
      <w:r w:rsidRPr="005B6DEF">
        <w:rPr>
          <w:rFonts w:ascii="Times New Roman" w:hAnsi="Times New Roman"/>
        </w:rPr>
        <w:t>l</w:t>
      </w:r>
      <w:r w:rsidRPr="005B6DEF">
        <w:rPr>
          <w:rFonts w:ascii="Times New Roman" w:hAnsi="Times New Roman"/>
        </w:rPr>
        <w:t xml:space="preserve">letti következetes teológiai kiállása miatt, illetve a milánói </w:t>
      </w:r>
      <w:proofErr w:type="spellStart"/>
      <w:r w:rsidRPr="005B6DEF">
        <w:rPr>
          <w:rFonts w:ascii="Times New Roman" w:hAnsi="Times New Roman"/>
        </w:rPr>
        <w:t>Ambrosiusra</w:t>
      </w:r>
      <w:proofErr w:type="spellEnd"/>
      <w:r w:rsidRPr="005B6DEF">
        <w:rPr>
          <w:rFonts w:ascii="Times New Roman" w:hAnsi="Times New Roman"/>
        </w:rPr>
        <w:t xml:space="preserve"> (†379), aki viszont kemény politikai befolyással meghátrálásra tudta kényszeríteni a nagyhatalmú </w:t>
      </w:r>
      <w:proofErr w:type="spellStart"/>
      <w:r w:rsidRPr="005B6DEF">
        <w:rPr>
          <w:rFonts w:ascii="Times New Roman" w:hAnsi="Times New Roman"/>
        </w:rPr>
        <w:t>Theodosius</w:t>
      </w:r>
      <w:proofErr w:type="spellEnd"/>
      <w:r w:rsidRPr="005B6DEF">
        <w:rPr>
          <w:rFonts w:ascii="Times New Roman" w:hAnsi="Times New Roman"/>
        </w:rPr>
        <w:t xml:space="preserve"> császárt és ariánusbarát környezetét nyugaton.</w:t>
      </w:r>
    </w:p>
  </w:footnote>
  <w:footnote w:id="3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</w:t>
      </w:r>
      <w:proofErr w:type="spellStart"/>
      <w:r w:rsidRPr="005B6DEF">
        <w:rPr>
          <w:rFonts w:ascii="Times New Roman" w:hAnsi="Times New Roman"/>
        </w:rPr>
        <w:t>Barmeni</w:t>
      </w:r>
      <w:proofErr w:type="spellEnd"/>
      <w:r w:rsidRPr="005B6DEF">
        <w:rPr>
          <w:rFonts w:ascii="Times New Roman" w:hAnsi="Times New Roman"/>
        </w:rPr>
        <w:t xml:space="preserve"> Teológiai Nyilatkozat. </w:t>
      </w:r>
      <w:proofErr w:type="spellStart"/>
      <w:r w:rsidRPr="005B6DEF">
        <w:rPr>
          <w:rFonts w:ascii="Times New Roman" w:hAnsi="Times New Roman"/>
        </w:rPr>
        <w:t>In</w:t>
      </w:r>
      <w:proofErr w:type="spellEnd"/>
      <w:r w:rsidRPr="005B6DEF">
        <w:rPr>
          <w:rFonts w:ascii="Times New Roman" w:hAnsi="Times New Roman"/>
        </w:rPr>
        <w:t xml:space="preserve">: Evangélikus </w:t>
      </w:r>
      <w:proofErr w:type="spellStart"/>
      <w:r w:rsidRPr="005B6DEF">
        <w:rPr>
          <w:rFonts w:ascii="Times New Roman" w:hAnsi="Times New Roman"/>
        </w:rPr>
        <w:t>Theologia</w:t>
      </w:r>
      <w:proofErr w:type="spellEnd"/>
      <w:r w:rsidRPr="005B6DEF">
        <w:rPr>
          <w:rFonts w:ascii="Times New Roman" w:hAnsi="Times New Roman"/>
        </w:rPr>
        <w:t xml:space="preserve"> 1948/1. 47-48.</w:t>
      </w:r>
    </w:p>
  </w:footnote>
  <w:footnote w:id="4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</w:t>
      </w:r>
      <w:proofErr w:type="spellStart"/>
      <w:r w:rsidRPr="005B6DEF">
        <w:rPr>
          <w:rFonts w:ascii="Times New Roman" w:hAnsi="Times New Roman"/>
        </w:rPr>
        <w:t>Bonhoeffer</w:t>
      </w:r>
      <w:proofErr w:type="spellEnd"/>
      <w:r w:rsidRPr="005B6DEF">
        <w:rPr>
          <w:rFonts w:ascii="Times New Roman" w:hAnsi="Times New Roman"/>
        </w:rPr>
        <w:t>, Dietrich: Követés. Luther Kiadó, Budapest, 2007. 44.</w:t>
      </w:r>
    </w:p>
  </w:footnote>
  <w:footnote w:id="5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Korányi András - Orosz Gábor Viktor - Reuss András: A norvég egyházi harc. Küzdelem az ideológiával 1940-1945. Luther Kiadó, Budapest, 2007. 137.</w:t>
      </w:r>
    </w:p>
  </w:footnote>
  <w:footnote w:id="6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</w:t>
      </w:r>
      <w:proofErr w:type="spellStart"/>
      <w:r w:rsidRPr="005B6DEF">
        <w:rPr>
          <w:rFonts w:ascii="Times New Roman" w:hAnsi="Times New Roman"/>
        </w:rPr>
        <w:t>Ordass</w:t>
      </w:r>
      <w:proofErr w:type="spellEnd"/>
      <w:r w:rsidRPr="005B6DEF">
        <w:rPr>
          <w:rFonts w:ascii="Times New Roman" w:hAnsi="Times New Roman"/>
        </w:rPr>
        <w:t xml:space="preserve"> Lajos: Önéletrajzi Írások I. Európai Protestáns Magyar Szabadegyetem, Bern, 1985. 384-385.</w:t>
      </w:r>
    </w:p>
  </w:footnote>
  <w:footnote w:id="7">
    <w:p w:rsidR="00CD52BC" w:rsidRPr="005B6DEF" w:rsidRDefault="00CD52BC" w:rsidP="00CD52BC">
      <w:pPr>
        <w:pStyle w:val="Lbjegyzetszveg"/>
        <w:rPr>
          <w:rFonts w:ascii="Times New Roman" w:hAnsi="Times New Roman"/>
        </w:rPr>
      </w:pPr>
      <w:r w:rsidRPr="005B6DEF">
        <w:rPr>
          <w:rStyle w:val="Lbjegyzet-hivatkozs"/>
          <w:rFonts w:ascii="Times New Roman" w:hAnsi="Times New Roman"/>
        </w:rPr>
        <w:footnoteRef/>
      </w:r>
      <w:r w:rsidRPr="005B6DEF">
        <w:rPr>
          <w:rFonts w:ascii="Times New Roman" w:hAnsi="Times New Roman"/>
        </w:rPr>
        <w:t xml:space="preserve"> </w:t>
      </w:r>
      <w:proofErr w:type="spellStart"/>
      <w:r w:rsidRPr="005B6DEF">
        <w:rPr>
          <w:rFonts w:ascii="Times New Roman" w:hAnsi="Times New Roman"/>
        </w:rPr>
        <w:t>Ordass</w:t>
      </w:r>
      <w:proofErr w:type="spellEnd"/>
      <w:r w:rsidRPr="005B6DEF">
        <w:rPr>
          <w:rFonts w:ascii="Times New Roman" w:hAnsi="Times New Roman"/>
        </w:rPr>
        <w:t xml:space="preserve"> Lajos: Akikkel az Úton találkoztam. </w:t>
      </w:r>
      <w:proofErr w:type="spellStart"/>
      <w:r w:rsidRPr="005B6DEF">
        <w:rPr>
          <w:rFonts w:ascii="Times New Roman" w:hAnsi="Times New Roman"/>
        </w:rPr>
        <w:t>Ordass</w:t>
      </w:r>
      <w:proofErr w:type="spellEnd"/>
      <w:r w:rsidRPr="005B6DEF">
        <w:rPr>
          <w:rFonts w:ascii="Times New Roman" w:hAnsi="Times New Roman"/>
        </w:rPr>
        <w:t xml:space="preserve"> Lajos Baráti Kör, Budapest, 1996. 41.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BC"/>
    <w:rsid w:val="00674CE7"/>
    <w:rsid w:val="00CD52BC"/>
    <w:rsid w:val="00D43DAB"/>
    <w:rsid w:val="00D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D52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52B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semiHidden/>
    <w:unhideWhenUsed/>
    <w:rsid w:val="00CD52BC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CD52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D52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52B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semiHidden/>
    <w:unhideWhenUsed/>
    <w:rsid w:val="00CD52BC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CD52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Evangélikus Hittudományi Egyetem</Company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Korányi András</dc:creator>
  <cp:lastModifiedBy>Korányi András</cp:lastModifiedBy>
  <cp:revision>1</cp:revision>
  <dcterms:created xsi:type="dcterms:W3CDTF">2013-11-21T17:53:00Z</dcterms:created>
  <dcterms:modified xsi:type="dcterms:W3CDTF">2013-11-21T18:04:00Z</dcterms:modified>
</cp:coreProperties>
</file>